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井冈山大学来华留学生平时表现考核细则</w:t>
      </w:r>
    </w:p>
    <w:p>
      <w:pPr>
        <w:jc w:val="center"/>
        <w:rPr>
          <w:rFonts w:hint="eastAsia"/>
          <w:b/>
          <w:bCs/>
          <w:sz w:val="36"/>
          <w:szCs w:val="44"/>
          <w:lang w:val="en-US" w:eastAsia="zh-CN"/>
        </w:rPr>
      </w:pPr>
      <w:r>
        <w:rPr>
          <w:rFonts w:hint="eastAsia"/>
          <w:b/>
          <w:bCs/>
          <w:sz w:val="36"/>
          <w:szCs w:val="44"/>
          <w:lang w:val="en-US" w:eastAsia="zh-CN"/>
        </w:rPr>
        <w:t>（试行）</w:t>
      </w:r>
    </w:p>
    <w:p>
      <w:pPr>
        <w:widowControl w:val="0"/>
        <w:numPr>
          <w:ilvl w:val="0"/>
          <w:numId w:val="0"/>
        </w:numPr>
        <w:jc w:val="both"/>
        <w:rPr>
          <w:rFonts w:hint="eastAsia" w:ascii="宋体" w:hAnsi="宋体" w:eastAsia="宋体" w:cs="宋体"/>
          <w:b/>
          <w:bCs/>
          <w:sz w:val="28"/>
          <w:szCs w:val="28"/>
          <w:lang w:val="en-US" w:eastAsia="zh-CN"/>
        </w:rPr>
      </w:pPr>
    </w:p>
    <w:p>
      <w:pPr>
        <w:widowControl w:val="0"/>
        <w:numPr>
          <w:ilvl w:val="0"/>
          <w:numId w:val="0"/>
        </w:numPr>
        <w:ind w:firstLine="562"/>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根据《井冈山大学学生综合素质测评办法》（2018年修订），参照其他院校的做法，结合我校来华留学生（以下简称留学生</w:t>
      </w:r>
      <w:bookmarkStart w:id="0" w:name="_GoBack"/>
      <w:bookmarkEnd w:id="0"/>
      <w:r>
        <w:rPr>
          <w:rFonts w:hint="eastAsia" w:ascii="宋体" w:hAnsi="宋体" w:eastAsia="宋体" w:cs="宋体"/>
          <w:b w:val="0"/>
          <w:bCs w:val="0"/>
          <w:sz w:val="28"/>
          <w:szCs w:val="28"/>
          <w:lang w:val="en-US" w:eastAsia="zh-CN"/>
        </w:rPr>
        <w:t>）工作实际，特制定此细则。</w:t>
      </w:r>
    </w:p>
    <w:p>
      <w:pPr>
        <w:widowControl w:val="0"/>
        <w:numPr>
          <w:ilvl w:val="0"/>
          <w:numId w:val="0"/>
        </w:numPr>
        <w:ind w:firstLine="562"/>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第一章 总则</w:t>
      </w:r>
    </w:p>
    <w:p>
      <w:pPr>
        <w:widowControl w:val="0"/>
        <w:numPr>
          <w:ilvl w:val="0"/>
          <w:numId w:val="1"/>
        </w:numPr>
        <w:ind w:firstLine="562"/>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留学生平时表现包括基本素质和素质拓展两部分。</w:t>
      </w:r>
    </w:p>
    <w:p>
      <w:pPr>
        <w:widowControl w:val="0"/>
        <w:numPr>
          <w:ilvl w:val="0"/>
          <w:numId w:val="1"/>
        </w:numPr>
        <w:ind w:firstLine="562"/>
        <w:jc w:val="both"/>
        <w:rPr>
          <w:rFonts w:hint="eastAsia"/>
          <w:sz w:val="28"/>
          <w:szCs w:val="28"/>
          <w:lang w:val="en-US" w:eastAsia="zh-CN"/>
        </w:rPr>
      </w:pPr>
      <w:r>
        <w:rPr>
          <w:rFonts w:hint="eastAsia" w:ascii="宋体" w:hAnsi="宋体" w:eastAsia="宋体" w:cs="宋体"/>
          <w:b w:val="0"/>
          <w:bCs w:val="0"/>
          <w:sz w:val="28"/>
          <w:szCs w:val="28"/>
          <w:lang w:val="en-US" w:eastAsia="zh-CN"/>
        </w:rPr>
        <w:t>留学生平时表现考核结果体现留学生综合素质的相对水平，将作为留学生各类奖学金评定，各类评优评先等的重要参考依据。</w:t>
      </w:r>
    </w:p>
    <w:p>
      <w:pPr>
        <w:widowControl w:val="0"/>
        <w:numPr>
          <w:ilvl w:val="0"/>
          <w:numId w:val="1"/>
        </w:numPr>
        <w:ind w:firstLine="562"/>
        <w:jc w:val="both"/>
        <w:rPr>
          <w:rFonts w:hint="eastAsia"/>
          <w:sz w:val="28"/>
          <w:szCs w:val="28"/>
          <w:lang w:val="en-US" w:eastAsia="zh-CN"/>
        </w:rPr>
      </w:pPr>
      <w:r>
        <w:rPr>
          <w:rFonts w:hint="eastAsia"/>
          <w:sz w:val="28"/>
          <w:szCs w:val="28"/>
          <w:lang w:val="en-US" w:eastAsia="zh-CN"/>
        </w:rPr>
        <w:t>根据学校有关规定，若有下列情况之一，平时表现分评为不合格。</w:t>
      </w:r>
    </w:p>
    <w:p>
      <w:pPr>
        <w:widowControl w:val="0"/>
        <w:numPr>
          <w:ilvl w:val="0"/>
          <w:numId w:val="0"/>
        </w:numPr>
        <w:ind w:firstLine="840" w:firstLineChars="300"/>
        <w:jc w:val="both"/>
        <w:rPr>
          <w:rFonts w:hint="eastAsia"/>
          <w:sz w:val="28"/>
          <w:szCs w:val="28"/>
          <w:lang w:val="en-US" w:eastAsia="zh-CN"/>
        </w:rPr>
      </w:pPr>
      <w:r>
        <w:rPr>
          <w:rFonts w:hint="eastAsia"/>
          <w:sz w:val="28"/>
          <w:szCs w:val="28"/>
          <w:lang w:val="en-US" w:eastAsia="zh-CN"/>
        </w:rPr>
        <w:t xml:space="preserve">1.违反中国相关法律，已经收到司法部门或者公安机关处罚者；    </w:t>
      </w:r>
    </w:p>
    <w:p>
      <w:pPr>
        <w:widowControl w:val="0"/>
        <w:numPr>
          <w:ilvl w:val="0"/>
          <w:numId w:val="0"/>
        </w:numPr>
        <w:ind w:firstLine="840" w:firstLineChars="300"/>
        <w:jc w:val="both"/>
        <w:rPr>
          <w:rFonts w:hint="eastAsia"/>
          <w:sz w:val="28"/>
          <w:szCs w:val="28"/>
          <w:lang w:val="en-US" w:eastAsia="zh-CN"/>
        </w:rPr>
      </w:pPr>
      <w:r>
        <w:rPr>
          <w:rFonts w:hint="eastAsia"/>
          <w:sz w:val="28"/>
          <w:szCs w:val="28"/>
          <w:lang w:val="en-US" w:eastAsia="zh-CN"/>
        </w:rPr>
        <w:t>2.违反校纪校规，受到院级（含）以上处分者。</w:t>
      </w:r>
    </w:p>
    <w:p>
      <w:pPr>
        <w:widowControl w:val="0"/>
        <w:numPr>
          <w:ilvl w:val="0"/>
          <w:numId w:val="0"/>
        </w:numPr>
        <w:ind w:firstLine="840" w:firstLineChars="300"/>
        <w:jc w:val="both"/>
        <w:rPr>
          <w:rFonts w:hint="eastAsia"/>
          <w:sz w:val="28"/>
          <w:szCs w:val="28"/>
          <w:lang w:val="en-US" w:eastAsia="zh-CN"/>
        </w:rPr>
      </w:pPr>
      <w:r>
        <w:rPr>
          <w:rFonts w:hint="eastAsia"/>
          <w:sz w:val="28"/>
          <w:szCs w:val="28"/>
          <w:lang w:val="en-US" w:eastAsia="zh-CN"/>
        </w:rPr>
        <w:t>3.言行不当，对学校或者集体或者他人造成不良社会影响者。</w:t>
      </w:r>
    </w:p>
    <w:p>
      <w:pPr>
        <w:widowControl w:val="0"/>
        <w:numPr>
          <w:ilvl w:val="0"/>
          <w:numId w:val="0"/>
        </w:numPr>
        <w:ind w:firstLine="840" w:firstLineChars="300"/>
        <w:jc w:val="both"/>
        <w:rPr>
          <w:rFonts w:hint="eastAsia"/>
          <w:lang w:val="en-US" w:eastAsia="zh-CN"/>
        </w:rPr>
      </w:pPr>
      <w:r>
        <w:rPr>
          <w:rFonts w:hint="eastAsia"/>
          <w:sz w:val="28"/>
          <w:szCs w:val="28"/>
          <w:lang w:val="en-US" w:eastAsia="zh-CN"/>
        </w:rPr>
        <w:t>4.违反学校宿舍管理规定，外住学生违反社区管理规定者。</w:t>
      </w:r>
    </w:p>
    <w:p>
      <w:pPr>
        <w:widowControl w:val="0"/>
        <w:numPr>
          <w:ilvl w:val="0"/>
          <w:numId w:val="0"/>
        </w:numPr>
        <w:jc w:val="both"/>
        <w:rPr>
          <w:rFonts w:hint="eastAsia" w:ascii="宋体" w:hAnsi="宋体" w:eastAsia="宋体" w:cs="宋体"/>
          <w:b w:val="0"/>
          <w:bCs w:val="0"/>
          <w:sz w:val="28"/>
          <w:szCs w:val="28"/>
          <w:lang w:val="en-US" w:eastAsia="zh-CN"/>
        </w:rPr>
      </w:pPr>
    </w:p>
    <w:p>
      <w:pPr>
        <w:widowControl w:val="0"/>
        <w:numPr>
          <w:ilvl w:val="0"/>
          <w:numId w:val="2"/>
        </w:numPr>
        <w:ind w:left="140" w:leftChars="0" w:firstLine="0" w:firstLineChars="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基本素质考核</w:t>
      </w:r>
    </w:p>
    <w:p>
      <w:pPr>
        <w:widowControl w:val="0"/>
        <w:numPr>
          <w:ilvl w:val="0"/>
          <w:numId w:val="1"/>
        </w:numPr>
        <w:ind w:left="0" w:leftChars="0" w:firstLine="562" w:firstLine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基本素质是指学生在道德修养、学习态度、纪律观念等方面应当具有的基本品质。</w:t>
      </w:r>
    </w:p>
    <w:p>
      <w:pPr>
        <w:widowControl w:val="0"/>
        <w:numPr>
          <w:ilvl w:val="0"/>
          <w:numId w:val="0"/>
        </w:numPr>
        <w:ind w:left="562"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（一）道德修养 </w:t>
      </w:r>
    </w:p>
    <w:p>
      <w:pPr>
        <w:widowControl w:val="0"/>
        <w:numPr>
          <w:ilvl w:val="0"/>
          <w:numId w:val="0"/>
        </w:numPr>
        <w:ind w:left="562"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1.测评内容：自觉维护社会公德，举止文雅，文明礼貌，爱</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校荣校，爱护公物，诚实守信，尊老爱幼，乐于助人，热爱劳动，热心公益，勤俭节约，爱护环境等。</w:t>
      </w:r>
    </w:p>
    <w:p>
      <w:pPr>
        <w:widowControl w:val="0"/>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2.不遵守《井冈山大学留学生日常行为规范》者，视情节减 </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1-5 分；不文明行为被学校通报者减 1.5 分/次，被学院（部）通报者减 1 分/次；不参加学校及学院组织的劳动或社会公益活动者，校级减 1 分/次、院级 0.8 分/次、班级 0.5 分/次。</w:t>
      </w:r>
    </w:p>
    <w:p>
      <w:pPr>
        <w:widowControl w:val="0"/>
        <w:numPr>
          <w:ilvl w:val="0"/>
          <w:numId w:val="0"/>
        </w:numPr>
        <w:ind w:left="562"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（二）学习态度 </w:t>
      </w:r>
    </w:p>
    <w:p>
      <w:pPr>
        <w:widowControl w:val="0"/>
        <w:numPr>
          <w:ilvl w:val="0"/>
          <w:numId w:val="0"/>
        </w:numPr>
        <w:ind w:left="562" w:leftChars="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1.测评内容：学习态度端正，目标明确，习惯良好，有课堂笔记，</w:t>
      </w:r>
    </w:p>
    <w:p>
      <w:pPr>
        <w:widowControl w:val="0"/>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注重课外自学和阅读。</w:t>
      </w:r>
    </w:p>
    <w:p>
      <w:pPr>
        <w:widowControl w:val="0"/>
        <w:numPr>
          <w:ilvl w:val="0"/>
          <w:numId w:val="0"/>
        </w:numPr>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2.无故旷课减 0.2/节课；出现违反课堂纪律等违反学习纪律情况者，减 0.5分/次。</w:t>
      </w:r>
    </w:p>
    <w:p>
      <w:pPr>
        <w:widowControl w:val="0"/>
        <w:numPr>
          <w:ilvl w:val="0"/>
          <w:numId w:val="0"/>
        </w:numPr>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（三）纪律观念 </w:t>
      </w:r>
    </w:p>
    <w:p>
      <w:pPr>
        <w:widowControl w:val="0"/>
        <w:numPr>
          <w:ilvl w:val="0"/>
          <w:numId w:val="0"/>
        </w:numPr>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1.测评内容：严格遵守中国法律法规和学校各项规章制度，自觉维护公共秩序；有团结协作精神，关心集体，积极参与各项集体活动，自觉维护集体荣誉等。</w:t>
      </w:r>
    </w:p>
    <w:p>
      <w:pPr>
        <w:widowControl w:val="0"/>
        <w:numPr>
          <w:ilvl w:val="0"/>
          <w:numId w:val="0"/>
        </w:numPr>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2.受到学校警告、严重警告、记过、留校察看等违纪处分者，分别减 4 分/次、5 分/次、6 分/次、10 分/次；受通报批评者减 1.5 分/次；宿舍检查中，被学院通报较差的寝室，减0.5分/次；宿舍检查中，被通报使用违规电器的寝室，减1分/次；擅自校外住宿者，减 3 分/次；晚归者，减 1分/次；夜不归宿者，减 1.5 分/次；无故不参加学院、班级组织的集体活动者，校级减 1 分/次、院级 0.8 分/次、班级 0.5 分/次。</w:t>
      </w:r>
    </w:p>
    <w:p>
      <w:pPr>
        <w:widowControl w:val="0"/>
        <w:numPr>
          <w:ilvl w:val="0"/>
          <w:numId w:val="0"/>
        </w:numPr>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（四）无故拖欠学费的，扣情况酌情扣10-30分。</w:t>
      </w:r>
    </w:p>
    <w:p>
      <w:pPr>
        <w:widowControl w:val="0"/>
        <w:numPr>
          <w:ilvl w:val="0"/>
          <w:numId w:val="0"/>
        </w:numPr>
        <w:ind w:firstLine="560" w:firstLineChars="200"/>
        <w:jc w:val="both"/>
        <w:rPr>
          <w:rFonts w:hint="eastAsia" w:ascii="宋体" w:hAnsi="宋体" w:eastAsia="宋体" w:cs="宋体"/>
          <w:b w:val="0"/>
          <w:bCs w:val="0"/>
          <w:color w:val="auto"/>
          <w:sz w:val="28"/>
          <w:szCs w:val="28"/>
          <w:lang w:val="en-US" w:eastAsia="zh-CN"/>
        </w:rPr>
      </w:pPr>
    </w:p>
    <w:p>
      <w:pPr>
        <w:widowControl w:val="0"/>
        <w:numPr>
          <w:ilvl w:val="0"/>
          <w:numId w:val="0"/>
        </w:numPr>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第五条 留学生基本素质采取基础分80分计算制。</w:t>
      </w:r>
    </w:p>
    <w:p>
      <w:pPr>
        <w:widowControl w:val="0"/>
        <w:numPr>
          <w:ilvl w:val="0"/>
          <w:numId w:val="0"/>
        </w:numPr>
        <w:ind w:left="562" w:leftChars="0"/>
        <w:jc w:val="both"/>
        <w:rPr>
          <w:rFonts w:hint="eastAsia" w:ascii="宋体" w:hAnsi="宋体" w:eastAsia="宋体" w:cs="宋体"/>
          <w:b w:val="0"/>
          <w:bCs w:val="0"/>
          <w:color w:val="auto"/>
          <w:sz w:val="28"/>
          <w:szCs w:val="28"/>
          <w:lang w:val="en-US" w:eastAsia="zh-CN"/>
        </w:rPr>
      </w:pPr>
    </w:p>
    <w:p>
      <w:pPr>
        <w:widowControl w:val="0"/>
        <w:numPr>
          <w:ilvl w:val="0"/>
          <w:numId w:val="2"/>
        </w:numPr>
        <w:ind w:left="140" w:leftChars="0" w:firstLine="0" w:firstLineChars="0"/>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素质拓展考核</w:t>
      </w:r>
    </w:p>
    <w:p>
      <w:pPr>
        <w:widowControl w:val="0"/>
        <w:numPr>
          <w:ilvl w:val="0"/>
          <w:numId w:val="0"/>
        </w:numPr>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第六条 素质拓展考核是鼓励学生全面发展的导向性指标，主要对学生在社会工作、文体竞赛表现及获奖情况、社会实践与志愿服务等方面。</w:t>
      </w:r>
    </w:p>
    <w:p>
      <w:pPr>
        <w:widowControl w:val="0"/>
        <w:numPr>
          <w:ilvl w:val="0"/>
          <w:numId w:val="0"/>
        </w:numPr>
        <w:ind w:left="562" w:leftChars="0"/>
        <w:jc w:val="both"/>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第七条 素质拓展分采取记实加分的方式进行，</w:t>
      </w:r>
      <w:r>
        <w:rPr>
          <w:rFonts w:hint="eastAsia" w:ascii="宋体" w:hAnsi="宋体" w:eastAsia="宋体" w:cs="宋体"/>
          <w:color w:val="auto"/>
          <w:sz w:val="28"/>
          <w:szCs w:val="28"/>
          <w:lang w:val="en-US" w:eastAsia="zh-CN"/>
        </w:rPr>
        <w:t>素质扩展部分分</w:t>
      </w:r>
    </w:p>
    <w:p>
      <w:pPr>
        <w:widowControl w:val="0"/>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color w:val="auto"/>
          <w:sz w:val="28"/>
          <w:szCs w:val="28"/>
          <w:lang w:val="en-US" w:eastAsia="zh-CN"/>
        </w:rPr>
        <w:t>数累计加分不超过20分。</w:t>
      </w:r>
      <w:r>
        <w:rPr>
          <w:rFonts w:hint="eastAsia" w:ascii="宋体" w:hAnsi="宋体" w:eastAsia="宋体" w:cs="宋体"/>
          <w:b w:val="0"/>
          <w:bCs w:val="0"/>
          <w:color w:val="auto"/>
          <w:sz w:val="28"/>
          <w:szCs w:val="28"/>
          <w:lang w:val="en-US" w:eastAsia="zh-CN"/>
        </w:rPr>
        <w:t>各项目的考评内容及计分标准如下：</w:t>
      </w:r>
    </w:p>
    <w:p>
      <w:pPr>
        <w:widowControl w:val="0"/>
        <w:numPr>
          <w:ilvl w:val="0"/>
          <w:numId w:val="3"/>
        </w:numPr>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社会工作方面</w:t>
      </w:r>
    </w:p>
    <w:p>
      <w:pPr>
        <w:widowControl w:val="0"/>
        <w:numPr>
          <w:ilvl w:val="0"/>
          <w:numId w:val="0"/>
        </w:numPr>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1.担任过院级学生会干部干事、班干部的同学，经考评合格者，可酌情加分。</w:t>
      </w:r>
    </w:p>
    <w:tbl>
      <w:tblPr>
        <w:tblStyle w:val="3"/>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1485"/>
        <w:gridCol w:w="1365"/>
        <w:gridCol w:w="151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619" w:type="dxa"/>
          </w:tcPr>
          <w:p>
            <w:pPr>
              <w:widowControl w:val="0"/>
              <w:numPr>
                <w:ilvl w:val="0"/>
                <w:numId w:val="0"/>
              </w:numPr>
              <w:ind w:firstLine="960" w:firstLineChars="400"/>
              <w:jc w:val="both"/>
              <w:rPr>
                <w:rFonts w:hint="eastAsia" w:ascii="宋体" w:hAnsi="宋体" w:eastAsia="宋体" w:cs="宋体"/>
                <w:b w:val="0"/>
                <w:bCs w:val="0"/>
                <w:color w:val="auto"/>
                <w:sz w:val="24"/>
                <w:szCs w:val="24"/>
                <w:vertAlign w:val="baseline"/>
                <w:lang w:val="en-US" w:eastAsia="zh-CN"/>
              </w:rPr>
            </w:pPr>
            <w:r>
              <w:rPr>
                <w:b w:val="0"/>
                <w:bCs w:val="0"/>
                <w:color w:val="auto"/>
                <w:sz w:val="24"/>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14605</wp:posOffset>
                      </wp:positionV>
                      <wp:extent cx="1657350" cy="419100"/>
                      <wp:effectExtent l="1270" t="4445" r="17780" b="14605"/>
                      <wp:wrapNone/>
                      <wp:docPr id="3" name="直接连接符 3"/>
                      <wp:cNvGraphicFramePr/>
                      <a:graphic xmlns:a="http://schemas.openxmlformats.org/drawingml/2006/main">
                        <a:graphicData uri="http://schemas.microsoft.com/office/word/2010/wordprocessingShape">
                          <wps:wsp>
                            <wps:cNvCnPr/>
                            <wps:spPr>
                              <a:xfrm>
                                <a:off x="1070610" y="925830"/>
                                <a:ext cx="1657350" cy="419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pt;margin-top:1.15pt;height:33pt;width:130.5pt;z-index:251658240;mso-width-relative:page;mso-height-relative:page;" filled="f" stroked="t" coordsize="21600,21600" o:gfxdata="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WAtO2AAAAAgBAAAPAAAAAAAAAAEA&#10;IAAAACIAAABkcnMvZG93bnJldi54bWxQSwECFAAUAAAACACHTuJA99sMLtYBAABzAwAADgAAAAAA&#10;AAABACAAAAAnAQAAZHJzL2Uyb0RvYy54bWxQSwUGAAAAAAYABgBZAQAAbwUAAAAA&#10;">
                      <v:fill on="f" focussize="0,0"/>
                      <v:stroke weight="0.5pt" color="#000000 [3213]" miterlimit="8" joinstyle="miter"/>
                      <v:imagedata o:title=""/>
                      <o:lock v:ext="edit" aspectratio="f"/>
                    </v:line>
                  </w:pict>
                </mc:Fallback>
              </mc:AlternateContent>
            </w:r>
            <w:r>
              <w:rPr>
                <w:rFonts w:hint="eastAsia" w:ascii="宋体" w:hAnsi="宋体" w:eastAsia="宋体" w:cs="宋体"/>
                <w:b w:val="0"/>
                <w:bCs w:val="0"/>
                <w:color w:val="auto"/>
                <w:sz w:val="24"/>
                <w:szCs w:val="24"/>
                <w:vertAlign w:val="baseline"/>
                <w:lang w:val="en-US" w:eastAsia="zh-CN"/>
              </w:rPr>
              <w:t>考核等级</w:t>
            </w:r>
          </w:p>
          <w:p>
            <w:pPr>
              <w:widowControl w:val="0"/>
              <w:numPr>
                <w:ilvl w:val="0"/>
                <w:numId w:val="0"/>
              </w:num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社会职务</w:t>
            </w:r>
          </w:p>
        </w:tc>
        <w:tc>
          <w:tcPr>
            <w:tcW w:w="1485" w:type="dxa"/>
          </w:tcPr>
          <w:p>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p>
          <w:p>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优秀</w:t>
            </w:r>
          </w:p>
        </w:tc>
        <w:tc>
          <w:tcPr>
            <w:tcW w:w="1365" w:type="dxa"/>
          </w:tcPr>
          <w:p>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p>
          <w:p>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良好</w:t>
            </w:r>
          </w:p>
        </w:tc>
        <w:tc>
          <w:tcPr>
            <w:tcW w:w="1515" w:type="dxa"/>
          </w:tcPr>
          <w:p>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p>
          <w:p>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合格</w:t>
            </w:r>
          </w:p>
        </w:tc>
        <w:tc>
          <w:tcPr>
            <w:tcW w:w="1455" w:type="dxa"/>
          </w:tcPr>
          <w:p>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p>
          <w:p>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619" w:type="dxa"/>
          </w:tcPr>
          <w:p>
            <w:pPr>
              <w:widowControl w:val="0"/>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学生会主席团成员</w:t>
            </w:r>
          </w:p>
        </w:tc>
        <w:tc>
          <w:tcPr>
            <w:tcW w:w="148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36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51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45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619" w:type="dxa"/>
          </w:tcPr>
          <w:p>
            <w:pPr>
              <w:widowControl w:val="0"/>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各部门正副部长、班长</w:t>
            </w:r>
          </w:p>
        </w:tc>
        <w:tc>
          <w:tcPr>
            <w:tcW w:w="148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36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51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5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619" w:type="dxa"/>
          </w:tcPr>
          <w:p>
            <w:pPr>
              <w:widowControl w:val="0"/>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各部门干事、班委成员</w:t>
            </w:r>
          </w:p>
        </w:tc>
        <w:tc>
          <w:tcPr>
            <w:tcW w:w="148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36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151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5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w:t>
            </w:r>
          </w:p>
        </w:tc>
      </w:tr>
    </w:tbl>
    <w:p>
      <w:pPr>
        <w:widowControl w:val="0"/>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2.积极组织集体活动（</w:t>
      </w:r>
      <w:r>
        <w:rPr>
          <w:rFonts w:hint="eastAsia" w:ascii="宋体" w:hAnsi="宋体" w:eastAsia="宋体" w:cs="宋体"/>
          <w:color w:val="auto"/>
          <w:sz w:val="28"/>
          <w:szCs w:val="28"/>
          <w:lang w:val="en-US" w:eastAsia="zh-CN"/>
        </w:rPr>
        <w:t>如“校园文化艺术节”、“国际文化节”、“留学生欢送晚会”、“校运会”等</w:t>
      </w:r>
      <w:r>
        <w:rPr>
          <w:rFonts w:hint="eastAsia" w:ascii="宋体" w:hAnsi="宋体" w:eastAsia="宋体" w:cs="宋体"/>
          <w:b w:val="0"/>
          <w:bCs w:val="0"/>
          <w:color w:val="auto"/>
          <w:sz w:val="28"/>
          <w:szCs w:val="28"/>
          <w:lang w:val="en-US" w:eastAsia="zh-CN"/>
        </w:rPr>
        <w:t>）或在活动中参加表演者，可根据该活动的类型，需投入的时间精力，活动成果，酌情加</w:t>
      </w:r>
      <w:r>
        <w:rPr>
          <w:rFonts w:hint="default" w:ascii="宋体" w:hAnsi="宋体" w:eastAsia="宋体" w:cs="宋体"/>
          <w:color w:val="auto"/>
          <w:sz w:val="28"/>
          <w:szCs w:val="28"/>
          <w:lang w:val="en-US" w:eastAsia="zh-CN"/>
        </w:rPr>
        <w:t>0.</w:t>
      </w:r>
      <w:r>
        <w:rPr>
          <w:rFonts w:hint="eastAsia" w:ascii="宋体" w:hAnsi="宋体" w:eastAsia="宋体" w:cs="宋体"/>
          <w:color w:val="auto"/>
          <w:sz w:val="28"/>
          <w:szCs w:val="28"/>
          <w:lang w:val="en-US" w:eastAsia="zh-CN"/>
        </w:rPr>
        <w:t>3</w:t>
      </w:r>
      <w:r>
        <w:rPr>
          <w:rFonts w:hint="default" w:ascii="宋体" w:hAnsi="宋体" w:eastAsia="宋体" w:cs="宋体"/>
          <w:color w:val="auto"/>
          <w:sz w:val="28"/>
          <w:szCs w:val="28"/>
          <w:lang w:val="en-US" w:eastAsia="zh-CN"/>
        </w:rPr>
        <w:t>-2</w:t>
      </w:r>
      <w:r>
        <w:rPr>
          <w:rFonts w:hint="eastAsia" w:ascii="宋体" w:hAnsi="宋体" w:eastAsia="宋体" w:cs="宋体"/>
          <w:color w:val="auto"/>
          <w:sz w:val="28"/>
          <w:szCs w:val="28"/>
          <w:lang w:val="en-US" w:eastAsia="zh-CN"/>
        </w:rPr>
        <w:t>分</w:t>
      </w:r>
      <w:r>
        <w:rPr>
          <w:rFonts w:hint="eastAsia" w:ascii="宋体" w:hAnsi="宋体" w:eastAsia="宋体" w:cs="宋体"/>
          <w:b w:val="0"/>
          <w:bCs w:val="0"/>
          <w:color w:val="auto"/>
          <w:sz w:val="28"/>
          <w:szCs w:val="28"/>
          <w:lang w:val="en-US" w:eastAsia="zh-CN"/>
        </w:rPr>
        <w:t>。</w:t>
      </w:r>
    </w:p>
    <w:p>
      <w:pPr>
        <w:widowControl w:val="0"/>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备注：上述活动参加情况根据负责老师或本人提供的活动记录并经核实后确定。</w:t>
      </w:r>
    </w:p>
    <w:p>
      <w:pPr>
        <w:widowControl w:val="0"/>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3.除学生干部外，其他积极参与班级事务管理或为班级管理做出贡献者（如学生信息员、安全员等），视情况酌情加0.5-2分。</w:t>
      </w:r>
    </w:p>
    <w:p>
      <w:pPr>
        <w:widowControl w:val="0"/>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（二）文体竞赛表现方面</w:t>
      </w:r>
    </w:p>
    <w:p>
      <w:pPr>
        <w:widowControl w:val="0"/>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生参加各级各类文体竞赛，包括国家级、省级、市级、校级、院系级的各类竞赛，如留动中国、江西省汉语大赛、校园歌手大赛、校留学生诵经典唱红歌比赛、校运会、校排球赛、篮球赛、羽毛球赛及其他同级别或更高级别文体赛事。累计加分不超过10分。</w:t>
      </w:r>
    </w:p>
    <w:tbl>
      <w:tblPr>
        <w:tblStyle w:val="3"/>
        <w:tblW w:w="9675"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1410"/>
        <w:gridCol w:w="1305"/>
        <w:gridCol w:w="1380"/>
        <w:gridCol w:w="127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000" w:type="dxa"/>
          </w:tcPr>
          <w:p>
            <w:pPr>
              <w:widowControl w:val="0"/>
              <w:numPr>
                <w:ilvl w:val="0"/>
                <w:numId w:val="0"/>
              </w:numPr>
              <w:jc w:val="both"/>
              <w:rPr>
                <w:rFonts w:hint="eastAsia" w:ascii="宋体" w:hAnsi="宋体" w:eastAsia="宋体" w:cs="宋体"/>
                <w:color w:val="auto"/>
                <w:sz w:val="24"/>
                <w:szCs w:val="24"/>
                <w:vertAlign w:val="baseline"/>
                <w:lang w:val="en-US" w:eastAsia="zh-CN"/>
              </w:rPr>
            </w:pP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1924050" cy="409575"/>
                      <wp:effectExtent l="1270" t="4445" r="17780" b="5080"/>
                      <wp:wrapNone/>
                      <wp:docPr id="4" name="直接连接符 4"/>
                      <wp:cNvGraphicFramePr/>
                      <a:graphic xmlns:a="http://schemas.openxmlformats.org/drawingml/2006/main">
                        <a:graphicData uri="http://schemas.microsoft.com/office/word/2010/wordprocessingShape">
                          <wps:wsp>
                            <wps:cNvCnPr/>
                            <wps:spPr>
                              <a:xfrm>
                                <a:off x="708660" y="6268720"/>
                                <a:ext cx="1924050" cy="409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pt;margin-top:0pt;height:32.25pt;width:151.5pt;z-index:251659264;mso-width-relative:page;mso-height-relative:page;" filled="f" stroked="t" coordsize="21600,21600" o:gfxdata="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6HvK9YAAAAHAQAADwAAAAAAAAABACAA&#10;AAAiAAAAZHJzL2Rvd25yZXYueG1sUEsBAhQAFAAAAAgAh07iQFCdiHbWAQAAcwMAAA4AAAAAAAAA&#10;AQAgAAAAJQEAAGRycy9lMm9Eb2MueG1sUEsFBgAAAAAGAAYAWQEAAG0FAAAAAA==&#10;">
                      <v:fill on="f" focussize="0,0"/>
                      <v:stroke weight="0.5pt" color="#000000 [3213]" miterlimit="8" joinstyle="miter"/>
                      <v:imagedata o:title=""/>
                      <o:lock v:ext="edit" aspectratio="f"/>
                    </v:line>
                  </w:pict>
                </mc:Fallback>
              </mc:AlternateContent>
            </w:r>
            <w:r>
              <w:rPr>
                <w:rFonts w:hint="eastAsia" w:ascii="宋体" w:hAnsi="宋体" w:eastAsia="宋体" w:cs="宋体"/>
                <w:color w:val="auto"/>
                <w:sz w:val="24"/>
                <w:szCs w:val="24"/>
                <w:vertAlign w:val="baseline"/>
                <w:lang w:val="en-US" w:eastAsia="zh-CN"/>
              </w:rPr>
              <w:t xml:space="preserve">                等级</w:t>
            </w:r>
          </w:p>
          <w:p>
            <w:pPr>
              <w:widowControl w:val="0"/>
              <w:numPr>
                <w:ilvl w:val="0"/>
                <w:numId w:val="0"/>
              </w:numPr>
              <w:ind w:firstLine="240" w:firstLineChars="1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获奖情况</w:t>
            </w:r>
          </w:p>
        </w:tc>
        <w:tc>
          <w:tcPr>
            <w:tcW w:w="141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p>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国家级</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p>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省级</w:t>
            </w:r>
          </w:p>
        </w:tc>
        <w:tc>
          <w:tcPr>
            <w:tcW w:w="138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p>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市级</w:t>
            </w:r>
          </w:p>
        </w:tc>
        <w:tc>
          <w:tcPr>
            <w:tcW w:w="127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p>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校级</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p>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pPr>
              <w:widowControl w:val="0"/>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一等奖（一、二名）</w:t>
            </w:r>
          </w:p>
        </w:tc>
        <w:tc>
          <w:tcPr>
            <w:tcW w:w="141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10分</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8分</w:t>
            </w:r>
          </w:p>
        </w:tc>
        <w:tc>
          <w:tcPr>
            <w:tcW w:w="138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5分</w:t>
            </w:r>
          </w:p>
        </w:tc>
        <w:tc>
          <w:tcPr>
            <w:tcW w:w="127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2分</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pPr>
              <w:widowControl w:val="0"/>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二等奖（三、四名）</w:t>
            </w:r>
          </w:p>
        </w:tc>
        <w:tc>
          <w:tcPr>
            <w:tcW w:w="141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8分</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6分</w:t>
            </w:r>
          </w:p>
        </w:tc>
        <w:tc>
          <w:tcPr>
            <w:tcW w:w="138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4分</w:t>
            </w:r>
          </w:p>
        </w:tc>
        <w:tc>
          <w:tcPr>
            <w:tcW w:w="127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1.6分</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pPr>
              <w:widowControl w:val="0"/>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三等奖（五名至最后名次）</w:t>
            </w:r>
          </w:p>
        </w:tc>
        <w:tc>
          <w:tcPr>
            <w:tcW w:w="141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6分</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4分</w:t>
            </w:r>
          </w:p>
        </w:tc>
        <w:tc>
          <w:tcPr>
            <w:tcW w:w="138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3分</w:t>
            </w:r>
          </w:p>
        </w:tc>
        <w:tc>
          <w:tcPr>
            <w:tcW w:w="127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1.3分</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pPr>
              <w:widowControl w:val="0"/>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优秀奖</w:t>
            </w:r>
          </w:p>
        </w:tc>
        <w:tc>
          <w:tcPr>
            <w:tcW w:w="1410" w:type="dxa"/>
            <w:vAlign w:val="top"/>
          </w:tcPr>
          <w:p>
            <w:pPr>
              <w:widowControl w:val="0"/>
              <w:numPr>
                <w:ilvl w:val="0"/>
                <w:numId w:val="0"/>
              </w:numPr>
              <w:ind w:left="0" w:lef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4分</w:t>
            </w:r>
          </w:p>
        </w:tc>
        <w:tc>
          <w:tcPr>
            <w:tcW w:w="1305" w:type="dxa"/>
            <w:vAlign w:val="top"/>
          </w:tcPr>
          <w:p>
            <w:pPr>
              <w:widowControl w:val="0"/>
              <w:numPr>
                <w:ilvl w:val="0"/>
                <w:numId w:val="0"/>
              </w:numPr>
              <w:ind w:left="0" w:lef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3分</w:t>
            </w:r>
          </w:p>
        </w:tc>
        <w:tc>
          <w:tcPr>
            <w:tcW w:w="1380" w:type="dxa"/>
            <w:vAlign w:val="top"/>
          </w:tcPr>
          <w:p>
            <w:pPr>
              <w:widowControl w:val="0"/>
              <w:numPr>
                <w:ilvl w:val="0"/>
                <w:numId w:val="0"/>
              </w:numPr>
              <w:ind w:left="0" w:lef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2分</w:t>
            </w:r>
          </w:p>
        </w:tc>
        <w:tc>
          <w:tcPr>
            <w:tcW w:w="1275" w:type="dxa"/>
            <w:vAlign w:val="top"/>
          </w:tcPr>
          <w:p>
            <w:pPr>
              <w:widowControl w:val="0"/>
              <w:numPr>
                <w:ilvl w:val="0"/>
                <w:numId w:val="0"/>
              </w:numPr>
              <w:ind w:left="0" w:lef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0.8分</w:t>
            </w:r>
          </w:p>
        </w:tc>
        <w:tc>
          <w:tcPr>
            <w:tcW w:w="1305" w:type="dxa"/>
            <w:vAlign w:val="top"/>
          </w:tcPr>
          <w:p>
            <w:pPr>
              <w:widowControl w:val="0"/>
              <w:numPr>
                <w:ilvl w:val="0"/>
                <w:numId w:val="0"/>
              </w:numPr>
              <w:ind w:left="0" w:lef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pPr>
              <w:widowControl w:val="0"/>
              <w:numPr>
                <w:ilvl w:val="0"/>
                <w:numId w:val="0"/>
              </w:num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参与奖</w:t>
            </w:r>
          </w:p>
        </w:tc>
        <w:tc>
          <w:tcPr>
            <w:tcW w:w="141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2分</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1.5分</w:t>
            </w:r>
          </w:p>
        </w:tc>
        <w:tc>
          <w:tcPr>
            <w:tcW w:w="1380"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1分</w:t>
            </w:r>
          </w:p>
        </w:tc>
        <w:tc>
          <w:tcPr>
            <w:tcW w:w="127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0.5分</w:t>
            </w:r>
          </w:p>
        </w:tc>
        <w:tc>
          <w:tcPr>
            <w:tcW w:w="1305" w:type="dxa"/>
          </w:tcPr>
          <w:p>
            <w:pPr>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0.3分</w:t>
            </w:r>
          </w:p>
        </w:tc>
      </w:tr>
    </w:tbl>
    <w:p>
      <w:pPr>
        <w:widowControl w:val="0"/>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备注：若参加的赛事设有特等奖或破纪录，则参照一等奖加分。</w:t>
      </w:r>
    </w:p>
    <w:p>
      <w:pPr>
        <w:widowControl w:val="0"/>
        <w:numPr>
          <w:ilvl w:val="0"/>
          <w:numId w:val="4"/>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上述情况以主办或主管部门的认定或颁发证书为准。</w:t>
      </w:r>
    </w:p>
    <w:p>
      <w:pPr>
        <w:widowControl w:val="0"/>
        <w:numPr>
          <w:ilvl w:val="0"/>
          <w:numId w:val="4"/>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本办法自发布之日起施行。</w:t>
      </w:r>
    </w:p>
    <w:p>
      <w:pPr>
        <w:widowControl w:val="0"/>
        <w:numPr>
          <w:ilvl w:val="0"/>
          <w:numId w:val="4"/>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本细则由国际学院负责解释。</w:t>
      </w:r>
    </w:p>
    <w:p>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2019年1月2日</w:t>
      </w:r>
    </w:p>
    <w:p>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国际学院</w:t>
      </w:r>
    </w:p>
    <w:p>
      <w:pPr>
        <w:widowControl w:val="0"/>
        <w:numPr>
          <w:ilvl w:val="0"/>
          <w:numId w:val="0"/>
        </w:numPr>
        <w:jc w:val="both"/>
        <w:rPr>
          <w:rFonts w:hint="eastAsia" w:ascii="宋体" w:hAnsi="宋体" w:eastAsia="宋体" w:cs="宋体"/>
          <w:sz w:val="28"/>
          <w:szCs w:val="28"/>
          <w:lang w:val="en-US" w:eastAsia="zh-CN"/>
        </w:rPr>
      </w:pPr>
    </w:p>
    <w:p>
      <w:pPr>
        <w:widowControl w:val="0"/>
        <w:numPr>
          <w:ilvl w:val="0"/>
          <w:numId w:val="0"/>
        </w:numPr>
        <w:jc w:val="both"/>
        <w:rPr>
          <w:rFonts w:hint="eastAsia" w:ascii="宋体" w:hAnsi="宋体" w:eastAsia="宋体" w:cs="宋体"/>
          <w:sz w:val="28"/>
          <w:szCs w:val="28"/>
          <w:lang w:val="en-US" w:eastAsia="zh-CN"/>
        </w:rPr>
      </w:pPr>
    </w:p>
    <w:p>
      <w:pPr>
        <w:widowControl w:val="0"/>
        <w:numPr>
          <w:ilvl w:val="0"/>
          <w:numId w:val="0"/>
        </w:numPr>
        <w:jc w:val="both"/>
        <w:rPr>
          <w:rFonts w:hint="eastAsia" w:ascii="宋体" w:hAnsi="宋体" w:eastAsia="宋体" w:cs="宋体"/>
          <w:sz w:val="28"/>
          <w:szCs w:val="28"/>
          <w:lang w:val="en-US" w:eastAsia="zh-CN"/>
        </w:rPr>
      </w:pPr>
    </w:p>
    <w:p>
      <w:pPr>
        <w:widowControl w:val="0"/>
        <w:numPr>
          <w:ilvl w:val="0"/>
          <w:numId w:val="0"/>
        </w:num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452E42"/>
    <w:multiLevelType w:val="singleLevel"/>
    <w:tmpl w:val="89452E42"/>
    <w:lvl w:ilvl="0" w:tentative="0">
      <w:start w:val="8"/>
      <w:numFmt w:val="chineseCounting"/>
      <w:suff w:val="space"/>
      <w:lvlText w:val="第%1条"/>
      <w:lvlJc w:val="left"/>
      <w:rPr>
        <w:rFonts w:hint="eastAsia"/>
      </w:rPr>
    </w:lvl>
  </w:abstractNum>
  <w:abstractNum w:abstractNumId="1">
    <w:nsid w:val="F9164B12"/>
    <w:multiLevelType w:val="singleLevel"/>
    <w:tmpl w:val="F9164B12"/>
    <w:lvl w:ilvl="0" w:tentative="0">
      <w:start w:val="2"/>
      <w:numFmt w:val="chineseCounting"/>
      <w:suff w:val="space"/>
      <w:lvlText w:val="第%1章"/>
      <w:lvlJc w:val="left"/>
      <w:pPr>
        <w:ind w:left="140" w:leftChars="0" w:firstLine="0" w:firstLineChars="0"/>
      </w:pPr>
      <w:rPr>
        <w:rFonts w:hint="eastAsia"/>
      </w:rPr>
    </w:lvl>
  </w:abstractNum>
  <w:abstractNum w:abstractNumId="2">
    <w:nsid w:val="1CBBEEC7"/>
    <w:multiLevelType w:val="singleLevel"/>
    <w:tmpl w:val="1CBBEEC7"/>
    <w:lvl w:ilvl="0" w:tentative="0">
      <w:start w:val="1"/>
      <w:numFmt w:val="chineseCounting"/>
      <w:suff w:val="space"/>
      <w:lvlText w:val="第%1条"/>
      <w:lvlJc w:val="left"/>
      <w:rPr>
        <w:rFonts w:hint="eastAsia"/>
      </w:rPr>
    </w:lvl>
  </w:abstractNum>
  <w:abstractNum w:abstractNumId="3">
    <w:nsid w:val="56369375"/>
    <w:multiLevelType w:val="singleLevel"/>
    <w:tmpl w:val="56369375"/>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F3565"/>
    <w:rsid w:val="02F56FC6"/>
    <w:rsid w:val="03EB00D0"/>
    <w:rsid w:val="058755ED"/>
    <w:rsid w:val="071A3A11"/>
    <w:rsid w:val="07C03FF5"/>
    <w:rsid w:val="0B3F3565"/>
    <w:rsid w:val="0B910AF1"/>
    <w:rsid w:val="0C9B368A"/>
    <w:rsid w:val="12A2752C"/>
    <w:rsid w:val="13CE6537"/>
    <w:rsid w:val="1415267D"/>
    <w:rsid w:val="1450372A"/>
    <w:rsid w:val="18D86CFB"/>
    <w:rsid w:val="19505F7B"/>
    <w:rsid w:val="1A8E6AC6"/>
    <w:rsid w:val="1C642D94"/>
    <w:rsid w:val="20D82C00"/>
    <w:rsid w:val="24DD2F08"/>
    <w:rsid w:val="27CC11A4"/>
    <w:rsid w:val="28417BBE"/>
    <w:rsid w:val="28AC5BE8"/>
    <w:rsid w:val="28ED1E8D"/>
    <w:rsid w:val="2A4365A0"/>
    <w:rsid w:val="2A4B7299"/>
    <w:rsid w:val="2B327D40"/>
    <w:rsid w:val="2D425D64"/>
    <w:rsid w:val="2ED6704F"/>
    <w:rsid w:val="30844910"/>
    <w:rsid w:val="31967609"/>
    <w:rsid w:val="33895915"/>
    <w:rsid w:val="34024DC8"/>
    <w:rsid w:val="34D81E37"/>
    <w:rsid w:val="35E53C1A"/>
    <w:rsid w:val="36FB2F91"/>
    <w:rsid w:val="37B102D8"/>
    <w:rsid w:val="384373E3"/>
    <w:rsid w:val="3CA724D1"/>
    <w:rsid w:val="3D5829D7"/>
    <w:rsid w:val="3F825359"/>
    <w:rsid w:val="3FD86E9A"/>
    <w:rsid w:val="40BC40D7"/>
    <w:rsid w:val="454A6349"/>
    <w:rsid w:val="47D149E6"/>
    <w:rsid w:val="487E7EAA"/>
    <w:rsid w:val="48D84B65"/>
    <w:rsid w:val="49ED548B"/>
    <w:rsid w:val="4B4176BB"/>
    <w:rsid w:val="4B5613E0"/>
    <w:rsid w:val="4D174BD6"/>
    <w:rsid w:val="4D9D717C"/>
    <w:rsid w:val="4F3351D5"/>
    <w:rsid w:val="51592464"/>
    <w:rsid w:val="517D17F5"/>
    <w:rsid w:val="526C5997"/>
    <w:rsid w:val="52771546"/>
    <w:rsid w:val="54AD4F56"/>
    <w:rsid w:val="54E641D6"/>
    <w:rsid w:val="55B2726D"/>
    <w:rsid w:val="55D76613"/>
    <w:rsid w:val="57AE6A75"/>
    <w:rsid w:val="58362F38"/>
    <w:rsid w:val="5A604CAE"/>
    <w:rsid w:val="5B1F373E"/>
    <w:rsid w:val="5C816254"/>
    <w:rsid w:val="5D2E11EC"/>
    <w:rsid w:val="5E9C66E4"/>
    <w:rsid w:val="5FEE6835"/>
    <w:rsid w:val="5FF95FB3"/>
    <w:rsid w:val="60743A11"/>
    <w:rsid w:val="62115274"/>
    <w:rsid w:val="63682013"/>
    <w:rsid w:val="64EC47AC"/>
    <w:rsid w:val="65A354BB"/>
    <w:rsid w:val="65B02CE0"/>
    <w:rsid w:val="66B850EF"/>
    <w:rsid w:val="67373851"/>
    <w:rsid w:val="67F81306"/>
    <w:rsid w:val="6BCA2974"/>
    <w:rsid w:val="6CDB48C3"/>
    <w:rsid w:val="6E7F2186"/>
    <w:rsid w:val="6EA97EB4"/>
    <w:rsid w:val="6EAA6A15"/>
    <w:rsid w:val="71742FB3"/>
    <w:rsid w:val="71DF7BD5"/>
    <w:rsid w:val="78006515"/>
    <w:rsid w:val="784E50D6"/>
    <w:rsid w:val="7E8E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2018-12-28T01:05:00Z</dcterms:created>
  <dc:creator>LENOVO</dc:creator>
  <cp:lastModifiedBy>jonny521</cp:lastModifiedBy>
  <cp:lastPrinted>2019-05-25T06:14:00Z</cp:lastPrinted>
  <dcterms:modified xsi:type="dcterms:W3CDTF">2020-06-10T01:10:00Z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